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640080</wp:posOffset>
            </wp:positionV>
            <wp:extent cx="5727700" cy="21795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9"/>
                <wp:lineTo x="0" y="21619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uiz masthea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79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</w:pPr>
      <w:r>
        <w:rPr>
          <w:rFonts w:cs="Arial Unicode MS" w:eastAsia="Arial Unicode MS"/>
          <w:rtl w:val="0"/>
        </w:rPr>
        <w:t>Quiz</w:t>
      </w:r>
      <w:r>
        <w:rPr>
          <w:rFonts w:cs="Arial Unicode MS" w:eastAsia="Arial Unicode MS"/>
          <w:rtl w:val="0"/>
        </w:rPr>
        <w:t xml:space="preserve"> 011</w:t>
      </w:r>
      <w:r>
        <w:rPr>
          <w:rFonts w:cs="Arial Unicode MS" w:eastAsia="Arial Unicode MS" w:hint="default"/>
          <w:rtl w:val="0"/>
        </w:rPr>
        <w:t>—</w:t>
      </w:r>
      <w:r>
        <w:rPr>
          <w:rFonts w:cs="Arial Unicode MS" w:eastAsia="Arial Unicode MS"/>
          <w:rtl w:val="0"/>
        </w:rPr>
        <w:t>Community Policies &amp; Procedures</w:t>
      </w:r>
    </w:p>
    <w:p>
      <w:pPr>
        <w:pStyle w:val="Heading 3"/>
      </w:pPr>
      <w:r>
        <w:rPr>
          <w:rtl w:val="0"/>
        </w:rPr>
        <w:t xml:space="preserve"> </w:t>
      </w:r>
    </w:p>
    <w:p>
      <w:pPr>
        <w:pStyle w:val="Heading 3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 xml:space="preserve">This quiz is to help you reflect upon some of the important points of the Community Policies &amp; Procedures portion of our </w:t>
      </w:r>
      <w:r>
        <w:rPr>
          <w:b w:val="0"/>
          <w:bCs w:val="0"/>
          <w:i w:val="1"/>
          <w:iCs w:val="1"/>
          <w:rtl w:val="0"/>
          <w:lang w:val="en-US"/>
        </w:rPr>
        <w:t>Ethics Guidelines for Spiritual Helpers &amp; Communities</w:t>
      </w:r>
      <w:r>
        <w:rPr>
          <w:b w:val="0"/>
          <w:bCs w:val="0"/>
          <w:rtl w:val="0"/>
          <w:lang w:val="en-US"/>
        </w:rPr>
        <w:t xml:space="preserve">. We suggest you type in your answers below where you see the dashes, and hit </w:t>
      </w:r>
      <w:r>
        <w:rPr>
          <w:b w:val="0"/>
          <w:bCs w:val="0"/>
          <w:rtl w:val="0"/>
          <w:lang w:val="en-US"/>
        </w:rPr>
        <w:t>“</w:t>
      </w:r>
      <w:r>
        <w:rPr>
          <w:b w:val="0"/>
          <w:bCs w:val="0"/>
          <w:rtl w:val="0"/>
          <w:lang w:val="en-US"/>
        </w:rPr>
        <w:t>save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so you have a copy of your answers. When you are accepted into our seminary program, the administrator will provide you with a student ID and log-in password and then you can turn in your answers to receive credit for your work.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 xml:space="preserve">1. </w:t>
      </w:r>
      <w:r>
        <w:rPr>
          <w:b w:val="1"/>
          <w:bCs w:val="1"/>
          <w:rtl w:val="0"/>
          <w:lang w:val="en-US"/>
        </w:rPr>
        <w:t>According to our Policies &amp; Procedures, who/what is a citizen of our organization?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2. According to our Policies, what is a kickback, and is it okay to take a kickback for something you do in the course of your position with Tzaddi or Gauden?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3. What is our Policy on use of illegal drugs or alcohol at a Tzaddi or Gauden gathering?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 xml:space="preserve">4. In order to ensure an environment which respects the worth of each individual and which is free from all forms of unlawful discrimination, which characteristics are deemed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protected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under the discriminatory harassment policy? 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</w:pPr>
      <w:r>
        <w:rPr>
          <w:rtl w:val="0"/>
          <w:lang w:val="en-US"/>
        </w:rPr>
        <w:t>5. Give one example of each of the protected characteristics. For example: race = Asian</w:t>
      </w:r>
    </w:p>
    <w:p>
      <w:pPr>
        <w:pStyle w:val="Body Text"/>
        <w:widowControl w:val="0"/>
      </w:pPr>
      <w:r>
        <w:rPr>
          <w:rtl w:val="0"/>
          <w:lang w:val="en-US"/>
        </w:rPr>
        <w:t>etc.</w:t>
      </w:r>
    </w:p>
    <w:p>
      <w:pPr>
        <w:pStyle w:val="Body Text"/>
        <w:widowControl w:val="0"/>
      </w:pP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 xml:space="preserve">6. Give four examples of situations that qualify as discriminatory harassment, as described in the </w:t>
      </w:r>
      <w:r>
        <w:rPr>
          <w:i w:val="1"/>
          <w:iCs w:val="1"/>
          <w:rtl w:val="0"/>
          <w:lang w:val="en-US"/>
        </w:rPr>
        <w:t>Community Policies &amp; Procedures</w:t>
      </w:r>
      <w:r>
        <w:rPr>
          <w:rtl w:val="0"/>
          <w:lang w:val="en-US"/>
        </w:rPr>
        <w:t>.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7. Does every concern or complaint require a formal response? If not, who has the discretion to decide?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8. When may disciplinary action be taken?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9. What may disciplinary action entail?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Body Text"/>
        <w:widowControl w:val="0"/>
      </w:pPr>
      <w:r>
        <w:rPr>
          <w:rtl w:val="0"/>
          <w:lang w:val="en-US"/>
        </w:rPr>
        <w:t>10. Scenario: The Board of Directors has appointed an investigating officer to examine the situation around a complaint of illegal discrimination arising from an incident between a spiritual teacher and a student in a class you attended. a. Is it within the scope of the investigator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duty to contact you to ask some questions if you are witnessed the situation?</w:t>
      </w:r>
    </w:p>
    <w:p>
      <w:pPr>
        <w:pStyle w:val="Body Text"/>
        <w:widowControl w:val="0"/>
      </w:pPr>
      <w:r>
        <w:rPr>
          <w:rtl w:val="0"/>
          <w:lang w:val="en-US"/>
        </w:rPr>
        <w:t>b. Do you have any responsibilities as far as how you respond to the investigator?</w:t>
      </w:r>
    </w:p>
    <w:p>
      <w:pPr>
        <w:pStyle w:val="Body Text"/>
        <w:widowControl w:val="0"/>
        <w:rPr>
          <w:color w:val="000000"/>
          <w:spacing w:val="0"/>
          <w:u w:color="000000"/>
        </w:rPr>
      </w:pPr>
      <w:r>
        <w:rPr>
          <w:rtl w:val="0"/>
          <w:lang w:val="en-US"/>
        </w:rPr>
        <w:t>c. If you were ever contacted in this way, what would you find supportive?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>-</w:t>
      </w:r>
    </w:p>
    <w:p>
      <w:pPr>
        <w:pStyle w:val="Normal.0"/>
        <w:widowControl w:val="0"/>
        <w:rPr>
          <w:color w:val="000000"/>
          <w:spacing w:val="0"/>
          <w:u w:color="000000"/>
        </w:rPr>
      </w:pPr>
    </w:p>
    <w:p>
      <w:pPr>
        <w:pStyle w:val="Normal.0"/>
        <w:ind w:left="1440" w:firstLine="0"/>
      </w:pPr>
      <w:r>
        <w:rPr>
          <w:b w:val="1"/>
          <w:bCs w:val="1"/>
        </w:rPr>
        <w:tab/>
      </w:r>
    </w:p>
    <w:sectPr>
      <w:headerReference w:type="default" r:id="rId5"/>
      <w:footerReference w:type="default" r:id="rId6"/>
      <w:pgSz w:w="11900" w:h="16840" w:orient="portrait"/>
      <w:pgMar w:top="1008" w:right="1440" w:bottom="1008" w:left="1440" w:header="576" w:footer="57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 xml:space="preserve">Revised </w:t>
    </w:r>
    <w:r>
      <w:rPr>
        <w:sz w:val="18"/>
        <w:szCs w:val="18"/>
        <w:rtl w:val="0"/>
        <w:lang w:val="en-US"/>
      </w:rPr>
      <w:t>April 22</w:t>
    </w:r>
    <w:r>
      <w:rPr>
        <w:sz w:val="18"/>
        <w:szCs w:val="18"/>
        <w:rtl w:val="0"/>
        <w:lang w:val="en-US"/>
      </w:rPr>
      <w:t>, 201</w:t>
    </w:r>
    <w:r>
      <w:rPr>
        <w:sz w:val="18"/>
        <w:szCs w:val="18"/>
        <w:rtl w:val="0"/>
        <w:lang w:val="en-US"/>
      </w:rPr>
      <w:t>9</w:t>
    </w:r>
  </w:p>
  <w:p>
    <w:pPr>
      <w:pStyle w:val="Footer"/>
      <w:jc w:val="center"/>
    </w:pPr>
    <w:r>
      <w:rPr>
        <w:rtl w:val="0"/>
        <w:lang w:val="en-US"/>
      </w:rPr>
      <w:t>www.</w:t>
    </w:r>
    <w:r>
      <w:rPr>
        <w:rtl w:val="0"/>
        <w:lang w:val="en-US"/>
      </w:rPr>
      <w:t>tzaddi.</w:t>
    </w:r>
    <w:r>
      <w:rPr>
        <w:rtl w:val="0"/>
        <w:lang w:val="en-US"/>
      </w:rPr>
      <w:t>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